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CB34" w14:textId="77777777" w:rsidR="00E9467C" w:rsidRDefault="00C92168">
      <w:pPr>
        <w:spacing w:after="80"/>
        <w:jc w:val="center"/>
        <w:rPr>
          <w:b/>
          <w:bCs/>
          <w:sz w:val="30"/>
          <w:szCs w:val="30"/>
        </w:rPr>
      </w:pPr>
      <w:r w:rsidRPr="00C92168">
        <w:rPr>
          <w:b/>
          <w:bCs/>
          <w:sz w:val="30"/>
          <w:szCs w:val="30"/>
        </w:rPr>
        <w:t>Программный модуль прогнозирования продаж потенциальных арендаторов торговых центров на базе платформы Rentu.</w:t>
      </w:r>
      <w:r w:rsidR="00E9467C">
        <w:rPr>
          <w:b/>
          <w:bCs/>
          <w:sz w:val="30"/>
          <w:szCs w:val="30"/>
        </w:rPr>
        <w:t xml:space="preserve"> </w:t>
      </w:r>
    </w:p>
    <w:p w14:paraId="414B5C9D" w14:textId="77777777" w:rsidR="00E619F9" w:rsidRDefault="00E9467C">
      <w:pPr>
        <w:spacing w:after="80"/>
        <w:jc w:val="center"/>
      </w:pPr>
      <w:r>
        <w:rPr>
          <w:b/>
          <w:bCs/>
          <w:sz w:val="30"/>
          <w:szCs w:val="30"/>
        </w:rPr>
        <w:t>Общая инструкция</w:t>
      </w:r>
    </w:p>
    <w:p w14:paraId="032CBAE5" w14:textId="77777777" w:rsidR="00E619F9" w:rsidRDefault="00E9467C">
      <w:pPr>
        <w:spacing w:after="280"/>
        <w:jc w:val="center"/>
      </w:pPr>
      <w:r>
        <w:rPr>
          <w:sz w:val="24"/>
          <w:szCs w:val="24"/>
        </w:rPr>
        <w:t>2026 г.</w:t>
      </w:r>
    </w:p>
    <w:p w14:paraId="660A9E15" w14:textId="77777777" w:rsidR="00E619F9" w:rsidRDefault="00E9467C">
      <w:pPr>
        <w:pStyle w:val="1"/>
      </w:pPr>
      <w:r>
        <w:t>Назначение модуля</w:t>
      </w:r>
    </w:p>
    <w:p w14:paraId="405F82FE" w14:textId="77777777" w:rsidR="00E619F9" w:rsidRDefault="00E9467C">
      <w:pPr>
        <w:spacing w:after="140"/>
      </w:pPr>
      <w:r>
        <w:t>Модуль прогнозирования позволяет оценить потенциальные коммерческие показатели площадки (вакантной или планируемой к сдаче) на основе эталонных данных сетевых брендов-аналогов. Прогноз строится на 12 месяцев вперёд по четырём ключевым показателям и помогает управляющей команде торгового центра принимать решения о подборе арендатора и оценке доходности площадки.</w:t>
      </w:r>
    </w:p>
    <w:p w14:paraId="2B312251" w14:textId="77777777" w:rsidR="00E619F9" w:rsidRDefault="00E9467C">
      <w:pPr>
        <w:spacing w:after="160"/>
      </w:pPr>
      <w:r>
        <w:t>Прогноз носит оценочный (демонстрационный) характер: он опирается на исторические данные брендов-аналогов, масштабированные под параметры конкретной площадки, и не является гарантированным значением будущей выручки.</w:t>
      </w:r>
    </w:p>
    <w:p w14:paraId="16FE4150" w14:textId="77777777" w:rsidR="00E619F9" w:rsidRDefault="00E9467C">
      <w:pPr>
        <w:pStyle w:val="1"/>
      </w:pPr>
      <w:r>
        <w:t>Требования к работе</w:t>
      </w:r>
    </w:p>
    <w:p w14:paraId="331C6345" w14:textId="77777777" w:rsidR="00E619F9" w:rsidRDefault="00E9467C">
      <w:pPr>
        <w:spacing w:after="160"/>
      </w:pPr>
      <w:r>
        <w:t xml:space="preserve">Модуль является частью платформы Rentu и работает в том же автоматизированном рабочем месте (АРМ), доступном в сети Интернет. Специальных требований к оборудованию, помимо требований платформы (современный браузер — Google </w:t>
      </w:r>
      <w:proofErr w:type="spellStart"/>
      <w:r>
        <w:t>Chrome</w:t>
      </w:r>
      <w:proofErr w:type="spellEnd"/>
      <w:r>
        <w:t>, Mozilla Firefox, Apple Safari, Microsoft Edge — и устойчивое интернет-соединение), не предъявляется.</w:t>
      </w:r>
    </w:p>
    <w:p w14:paraId="6319134C" w14:textId="77777777" w:rsidR="00E619F9" w:rsidRDefault="00E9467C">
      <w:pPr>
        <w:pStyle w:val="1"/>
      </w:pPr>
      <w:r>
        <w:t>Условия доступности прогноза</w:t>
      </w:r>
    </w:p>
    <w:p w14:paraId="54064484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доступен пользователям с соответствующей ролью (администратор / персонал торгового центра).</w:t>
      </w:r>
    </w:p>
    <w:p w14:paraId="0F7F6A1A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доступен только для площадок с площадью в диапазоне от 200 до 500 м². Для площадок вне этого диапазона пункт «Произвести прогноз» недоступен.</w:t>
      </w:r>
    </w:p>
    <w:p w14:paraId="26161B5F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Каждый запуск расходует «прогнозные токены»: один выбранный бренд — один токен. Остаток токенов отображается в форме запуска прогноза.</w:t>
      </w:r>
    </w:p>
    <w:p w14:paraId="3924E0A2" w14:textId="77777777" w:rsidR="00E619F9" w:rsidRDefault="00E619F9">
      <w:pPr>
        <w:spacing w:after="60"/>
      </w:pPr>
    </w:p>
    <w:p w14:paraId="56CA6783" w14:textId="77777777" w:rsidR="00E619F9" w:rsidRDefault="00E9467C">
      <w:pPr>
        <w:pStyle w:val="1"/>
      </w:pPr>
      <w:r>
        <w:t>Как формируется прогноз</w:t>
      </w:r>
    </w:p>
    <w:p w14:paraId="0AFB86EA" w14:textId="77777777" w:rsidR="00987FC9" w:rsidRPr="00987FC9" w:rsidRDefault="00987FC9" w:rsidP="00987FC9">
      <w:pPr>
        <w:spacing w:after="100"/>
      </w:pPr>
      <w:r w:rsidRPr="00987FC9">
        <w:t>Прогноз формирует ML-модуль Rentu — выделенный сервис машинного обучения, обученный на исторических данных сетевых брендов-аналогов. На вход модели передаются параметры площадки (площадь, этаж) и выбранный бренд-аналог, на выходе формируется помесячный прогноз на 12 месяцев по четырём показателям с учётом сезонной и помесячной динамики:</w:t>
      </w:r>
    </w:p>
    <w:p w14:paraId="6E738211" w14:textId="77777777" w:rsidR="00987FC9" w:rsidRPr="00987FC9" w:rsidRDefault="00987FC9" w:rsidP="00987FC9">
      <w:pPr>
        <w:numPr>
          <w:ilvl w:val="0"/>
          <w:numId w:val="4"/>
        </w:numPr>
        <w:spacing w:after="100"/>
      </w:pPr>
      <w:r w:rsidRPr="00987FC9">
        <w:t>Входные параметры (признаки модели). Модель учитывает выбранный бренд-аналог (его категорию и историческую динамику продаж), а также характеристики площадки — площадь и этаж.</w:t>
      </w:r>
    </w:p>
    <w:p w14:paraId="6051B5D1" w14:textId="77777777" w:rsidR="00987FC9" w:rsidRPr="00987FC9" w:rsidRDefault="00987FC9" w:rsidP="00987FC9">
      <w:pPr>
        <w:numPr>
          <w:ilvl w:val="0"/>
          <w:numId w:val="4"/>
        </w:numPr>
        <w:spacing w:after="100"/>
      </w:pPr>
      <w:r w:rsidRPr="00987FC9">
        <w:t>Влияние площади. Модель учитывает площадь нелинейно: с её увеличением прирост показателей замедляется (эффект масштаба), поэтому, например, увеличение площади в два раза не приводит к двукратному росту прогноза.</w:t>
      </w:r>
    </w:p>
    <w:p w14:paraId="39B9057E" w14:textId="77777777" w:rsidR="00987FC9" w:rsidRPr="00987FC9" w:rsidRDefault="00987FC9" w:rsidP="00987FC9">
      <w:pPr>
        <w:numPr>
          <w:ilvl w:val="0"/>
          <w:numId w:val="4"/>
        </w:numPr>
        <w:spacing w:after="100"/>
      </w:pPr>
      <w:r w:rsidRPr="00987FC9">
        <w:lastRenderedPageBreak/>
        <w:t>Влияние этажа. Этаж входит в число факторов модели: первому этажу соответствуют наиболее высокие значения, расположение выше понижает прогноз.</w:t>
      </w:r>
    </w:p>
    <w:p w14:paraId="0A148233" w14:textId="77777777" w:rsidR="00987FC9" w:rsidRPr="00987FC9" w:rsidRDefault="00987FC9" w:rsidP="00987FC9">
      <w:pPr>
        <w:numPr>
          <w:ilvl w:val="0"/>
          <w:numId w:val="4"/>
        </w:numPr>
        <w:spacing w:after="100"/>
      </w:pPr>
      <w:r w:rsidRPr="00987FC9">
        <w:t>Оценка достоверности. Вместе с прогнозом модель возвращает ориентировочную оценку точности (≈83 %).</w:t>
      </w:r>
    </w:p>
    <w:p w14:paraId="0AE235A3" w14:textId="77777777" w:rsidR="00E619F9" w:rsidRDefault="00E619F9">
      <w:pPr>
        <w:spacing w:after="60"/>
      </w:pPr>
    </w:p>
    <w:p w14:paraId="233064C4" w14:textId="77777777" w:rsidR="00E619F9" w:rsidRDefault="00E9467C">
      <w:pPr>
        <w:spacing w:after="60"/>
      </w:pPr>
      <w:r>
        <w:t>Доступные для прогноза бренды-аналоги:</w:t>
      </w:r>
    </w:p>
    <w:p w14:paraId="12966FAC" w14:textId="77777777" w:rsidR="00E619F9" w:rsidRDefault="00E9467C">
      <w:pPr>
        <w:pStyle w:val="a4"/>
        <w:numPr>
          <w:ilvl w:val="0"/>
          <w:numId w:val="2"/>
        </w:numPr>
        <w:spacing w:after="40"/>
      </w:pPr>
      <w:proofErr w:type="spellStart"/>
      <w:r>
        <w:t>Бершка</w:t>
      </w:r>
      <w:proofErr w:type="spellEnd"/>
      <w:r>
        <w:t xml:space="preserve"> — категория «Одежда».</w:t>
      </w:r>
    </w:p>
    <w:p w14:paraId="3046E35D" w14:textId="77777777" w:rsidR="00E619F9" w:rsidRDefault="00E9467C">
      <w:pPr>
        <w:pStyle w:val="a4"/>
        <w:numPr>
          <w:ilvl w:val="0"/>
          <w:numId w:val="2"/>
        </w:numPr>
        <w:spacing w:after="40"/>
      </w:pPr>
      <w:proofErr w:type="spellStart"/>
      <w:r>
        <w:t>Левайс</w:t>
      </w:r>
      <w:proofErr w:type="spellEnd"/>
      <w:r>
        <w:t xml:space="preserve"> — категория «Обувь и сумки».</w:t>
      </w:r>
    </w:p>
    <w:p w14:paraId="2A8D445F" w14:textId="77777777" w:rsidR="00E619F9" w:rsidRDefault="00E9467C">
      <w:pPr>
        <w:pStyle w:val="a4"/>
        <w:numPr>
          <w:ilvl w:val="0"/>
          <w:numId w:val="2"/>
        </w:numPr>
        <w:spacing w:after="40"/>
      </w:pPr>
      <w:proofErr w:type="spellStart"/>
      <w:r>
        <w:t>Легого</w:t>
      </w:r>
      <w:proofErr w:type="spellEnd"/>
      <w:r>
        <w:t xml:space="preserve"> — категория «Детские товары».</w:t>
      </w:r>
    </w:p>
    <w:p w14:paraId="0884C556" w14:textId="77777777" w:rsidR="00E619F9" w:rsidRDefault="00E619F9">
      <w:pPr>
        <w:spacing w:after="60"/>
      </w:pPr>
    </w:p>
    <w:p w14:paraId="68931908" w14:textId="77777777" w:rsidR="00E619F9" w:rsidRDefault="00E9467C">
      <w:pPr>
        <w:pStyle w:val="1"/>
      </w:pPr>
      <w:r>
        <w:t>Пошаговый сценарий работы</w:t>
      </w:r>
    </w:p>
    <w:p w14:paraId="6E3428DC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Перейдите в раздел «Настройки» → «Этажи, Секторы, Площади».</w:t>
      </w:r>
    </w:p>
    <w:p w14:paraId="621081C5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В блоке «Площадки в ТРЦ» найдите нужную площадку (площадь 200–500 м²).</w:t>
      </w:r>
    </w:p>
    <w:p w14:paraId="2E4F5A87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Нажмите кнопку «…» в строке площадки и выберите «Произвести прогноз».</w:t>
      </w:r>
    </w:p>
    <w:p w14:paraId="3550BF77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Проверьте характеристики площадки (площадь, тип, этаж, сектор) в открывшейся форме.</w:t>
      </w:r>
    </w:p>
    <w:p w14:paraId="75CE0A93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Выберите один или несколько брендов для прогноза и нажмите «Произвести прогноз».</w:t>
      </w:r>
    </w:p>
    <w:p w14:paraId="7C789B24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Дождитесь завершения расчёта (имитация работы ML-модели занимает 40–75 секунд).</w:t>
      </w:r>
    </w:p>
    <w:p w14:paraId="39E4A9F1" w14:textId="77777777" w:rsidR="00E619F9" w:rsidRDefault="00E9467C">
      <w:pPr>
        <w:pStyle w:val="a4"/>
        <w:numPr>
          <w:ilvl w:val="0"/>
          <w:numId w:val="3"/>
        </w:numPr>
        <w:spacing w:after="60"/>
      </w:pPr>
      <w:r>
        <w:t>Изучите результат, переключаясь между вкладками показателей. При необходимости выгрузите таблицу в PDF.</w:t>
      </w:r>
    </w:p>
    <w:p w14:paraId="145851C1" w14:textId="77777777" w:rsidR="00E619F9" w:rsidRDefault="00E619F9">
      <w:pPr>
        <w:spacing w:after="60"/>
      </w:pPr>
    </w:p>
    <w:p w14:paraId="1B450C5E" w14:textId="77777777" w:rsidR="00E619F9" w:rsidRDefault="00E9467C">
      <w:pPr>
        <w:pStyle w:val="1"/>
      </w:pPr>
      <w:r>
        <w:t>Показатели результата</w:t>
      </w:r>
    </w:p>
    <w:p w14:paraId="42F82EEA" w14:textId="77777777" w:rsidR="00E619F9" w:rsidRDefault="00E9467C">
      <w:pPr>
        <w:spacing w:after="100"/>
      </w:pPr>
      <w:r>
        <w:t>Результат прогноза представлен в виде помесячной таблицы на 12 месяцев (с суммой за период) по каждому выбранному бренду. Доступны четыре показателя, переключаемые вкладками:</w:t>
      </w:r>
    </w:p>
    <w:p w14:paraId="462CACC3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ТО — прогнозируемый товарооборот, ₽.</w:t>
      </w:r>
    </w:p>
    <w:p w14:paraId="3AEC81F1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ТО на м² — товарооборот в пересчёте на 1 м² площади, ₽.</w:t>
      </w:r>
    </w:p>
    <w:p w14:paraId="1E41D0DF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продаж — прогнозируемое количество продаж (чеков).</w:t>
      </w:r>
    </w:p>
    <w:p w14:paraId="5DF6B814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среднего чека — средний чек, ₽.</w:t>
      </w:r>
    </w:p>
    <w:p w14:paraId="5D00B287" w14:textId="77777777" w:rsidR="00E619F9" w:rsidRDefault="00E619F9">
      <w:pPr>
        <w:spacing w:after="60"/>
      </w:pPr>
    </w:p>
    <w:p w14:paraId="7ECDC805" w14:textId="77777777" w:rsidR="00E619F9" w:rsidRDefault="00E9467C">
      <w:pPr>
        <w:pStyle w:val="1"/>
      </w:pPr>
      <w:r>
        <w:t>Прогнозные токены</w:t>
      </w:r>
    </w:p>
    <w:p w14:paraId="377F65FF" w14:textId="77777777" w:rsidR="00E619F9" w:rsidRDefault="00E9467C">
      <w:pPr>
        <w:spacing w:after="160"/>
      </w:pPr>
      <w:r>
        <w:t>У каждого торгового центра есть ограниченный лимит «прогнозных токенов». При запуске прогноза по каждому выбранному бренду списывается один токен. Текущий остаток отображается в форме запуска. Если токенов недостаточно для выбранного количества брендов, запуск прогноза будет недоступен.</w:t>
      </w:r>
    </w:p>
    <w:p w14:paraId="2D78BCFB" w14:textId="77777777" w:rsidR="00E619F9" w:rsidRDefault="00E9467C">
      <w:pPr>
        <w:pStyle w:val="1"/>
      </w:pPr>
      <w:r>
        <w:t>Экспорт результата в PDF</w:t>
      </w:r>
    </w:p>
    <w:p w14:paraId="0BF6BEC1" w14:textId="77777777" w:rsidR="00C92168" w:rsidRDefault="00E9467C">
      <w:pPr>
        <w:spacing w:after="160"/>
      </w:pPr>
      <w:r>
        <w:t xml:space="preserve">Кнопка «Скачать таблицу в формате PDF» формирует печатный документ, который включает характеристики площадки, точность прогноза и таблицы по всем выбранным брендам сразу по всем четырём показателям за 12 месяцев с итоговой суммой. </w:t>
      </w:r>
      <w:r>
        <w:lastRenderedPageBreak/>
        <w:t>Документ удобно приложить к презентации площадки или к переговорам с потенциальным арендатором.</w:t>
      </w:r>
    </w:p>
    <w:p w14:paraId="1400B63A" w14:textId="77777777" w:rsidR="00C92168" w:rsidRDefault="00C92168" w:rsidP="006E27E5">
      <w:pPr>
        <w:pStyle w:val="1"/>
      </w:pPr>
      <w:r>
        <w:t>Демонстрационный(тестовый) режим:</w:t>
      </w:r>
    </w:p>
    <w:p w14:paraId="7A5B86D0" w14:textId="77777777" w:rsidR="00E619F9" w:rsidRDefault="00C92168">
      <w:pPr>
        <w:pStyle w:val="a4"/>
        <w:numPr>
          <w:ilvl w:val="0"/>
          <w:numId w:val="2"/>
        </w:numPr>
        <w:spacing w:after="40"/>
      </w:pPr>
      <w:r>
        <w:t>Модуль позволяет провести оценочное прогнозирование и демонстрацию</w:t>
      </w:r>
      <w:r w:rsidR="00E9467C">
        <w:t>; значения являются ориентировочными.</w:t>
      </w:r>
    </w:p>
    <w:p w14:paraId="244FDF29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Прогноз доступен только для площадей 200–500 м² и ограничен числом доступных прогнозных токенов.</w:t>
      </w:r>
    </w:p>
    <w:p w14:paraId="2730FCA4" w14:textId="77777777" w:rsidR="00E619F9" w:rsidRDefault="00E9467C">
      <w:pPr>
        <w:pStyle w:val="a4"/>
        <w:numPr>
          <w:ilvl w:val="0"/>
          <w:numId w:val="2"/>
        </w:numPr>
        <w:spacing w:after="40"/>
      </w:pPr>
      <w:r>
        <w:t>Список брендов-</w:t>
      </w:r>
      <w:r w:rsidR="00C92168">
        <w:t>для тестового режима ограничен</w:t>
      </w:r>
      <w:r>
        <w:t xml:space="preserve"> (</w:t>
      </w:r>
      <w:proofErr w:type="spellStart"/>
      <w:r>
        <w:t>Бершка</w:t>
      </w:r>
      <w:proofErr w:type="spellEnd"/>
      <w:r>
        <w:t xml:space="preserve">, </w:t>
      </w:r>
      <w:proofErr w:type="spellStart"/>
      <w:r>
        <w:t>Левайс</w:t>
      </w:r>
      <w:proofErr w:type="spellEnd"/>
      <w:r>
        <w:t xml:space="preserve">, </w:t>
      </w:r>
      <w:proofErr w:type="spellStart"/>
      <w:r>
        <w:t>Легого</w:t>
      </w:r>
      <w:proofErr w:type="spellEnd"/>
      <w:r>
        <w:t>).</w:t>
      </w:r>
    </w:p>
    <w:sectPr w:rsidR="00E619F9"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54D8"/>
    <w:multiLevelType w:val="hybridMultilevel"/>
    <w:tmpl w:val="42E6D0DE"/>
    <w:lvl w:ilvl="0" w:tplc="85F0C86C">
      <w:start w:val="1"/>
      <w:numFmt w:val="decimal"/>
      <w:lvlText w:val="%1."/>
      <w:lvlJc w:val="left"/>
      <w:pPr>
        <w:ind w:left="600" w:hanging="320"/>
      </w:pPr>
    </w:lvl>
    <w:lvl w:ilvl="1" w:tplc="4CB4028E">
      <w:numFmt w:val="decimal"/>
      <w:lvlText w:val=""/>
      <w:lvlJc w:val="left"/>
    </w:lvl>
    <w:lvl w:ilvl="2" w:tplc="80A6024E">
      <w:numFmt w:val="decimal"/>
      <w:lvlText w:val=""/>
      <w:lvlJc w:val="left"/>
    </w:lvl>
    <w:lvl w:ilvl="3" w:tplc="EC68E608">
      <w:numFmt w:val="decimal"/>
      <w:lvlText w:val=""/>
      <w:lvlJc w:val="left"/>
    </w:lvl>
    <w:lvl w:ilvl="4" w:tplc="63AA0FE4">
      <w:numFmt w:val="decimal"/>
      <w:lvlText w:val=""/>
      <w:lvlJc w:val="left"/>
    </w:lvl>
    <w:lvl w:ilvl="5" w:tplc="DC2C3862">
      <w:numFmt w:val="decimal"/>
      <w:lvlText w:val=""/>
      <w:lvlJc w:val="left"/>
    </w:lvl>
    <w:lvl w:ilvl="6" w:tplc="883E21DC">
      <w:numFmt w:val="decimal"/>
      <w:lvlText w:val=""/>
      <w:lvlJc w:val="left"/>
    </w:lvl>
    <w:lvl w:ilvl="7" w:tplc="462EC136">
      <w:numFmt w:val="decimal"/>
      <w:lvlText w:val=""/>
      <w:lvlJc w:val="left"/>
    </w:lvl>
    <w:lvl w:ilvl="8" w:tplc="CD3E7166">
      <w:numFmt w:val="decimal"/>
      <w:lvlText w:val=""/>
      <w:lvlJc w:val="left"/>
    </w:lvl>
  </w:abstractNum>
  <w:abstractNum w:abstractNumId="1" w15:restartNumberingAfterBreak="0">
    <w:nsid w:val="32313084"/>
    <w:multiLevelType w:val="hybridMultilevel"/>
    <w:tmpl w:val="06006766"/>
    <w:lvl w:ilvl="0" w:tplc="3F40C98E">
      <w:start w:val="1"/>
      <w:numFmt w:val="bullet"/>
      <w:lvlText w:val="●"/>
      <w:lvlJc w:val="left"/>
      <w:pPr>
        <w:ind w:left="720" w:hanging="360"/>
      </w:pPr>
    </w:lvl>
    <w:lvl w:ilvl="1" w:tplc="E040B922">
      <w:start w:val="1"/>
      <w:numFmt w:val="bullet"/>
      <w:lvlText w:val="○"/>
      <w:lvlJc w:val="left"/>
      <w:pPr>
        <w:ind w:left="1440" w:hanging="360"/>
      </w:pPr>
    </w:lvl>
    <w:lvl w:ilvl="2" w:tplc="F2903930">
      <w:start w:val="1"/>
      <w:numFmt w:val="bullet"/>
      <w:lvlText w:val="■"/>
      <w:lvlJc w:val="left"/>
      <w:pPr>
        <w:ind w:left="2160" w:hanging="360"/>
      </w:pPr>
    </w:lvl>
    <w:lvl w:ilvl="3" w:tplc="447A82F0">
      <w:start w:val="1"/>
      <w:numFmt w:val="bullet"/>
      <w:lvlText w:val="●"/>
      <w:lvlJc w:val="left"/>
      <w:pPr>
        <w:ind w:left="2880" w:hanging="360"/>
      </w:pPr>
    </w:lvl>
    <w:lvl w:ilvl="4" w:tplc="B50ABA52">
      <w:start w:val="1"/>
      <w:numFmt w:val="bullet"/>
      <w:lvlText w:val="○"/>
      <w:lvlJc w:val="left"/>
      <w:pPr>
        <w:ind w:left="3600" w:hanging="360"/>
      </w:pPr>
    </w:lvl>
    <w:lvl w:ilvl="5" w:tplc="70CA665E">
      <w:start w:val="1"/>
      <w:numFmt w:val="bullet"/>
      <w:lvlText w:val="■"/>
      <w:lvlJc w:val="left"/>
      <w:pPr>
        <w:ind w:left="4320" w:hanging="360"/>
      </w:pPr>
    </w:lvl>
    <w:lvl w:ilvl="6" w:tplc="8A0C8AF0">
      <w:start w:val="1"/>
      <w:numFmt w:val="bullet"/>
      <w:lvlText w:val="●"/>
      <w:lvlJc w:val="left"/>
      <w:pPr>
        <w:ind w:left="5040" w:hanging="360"/>
      </w:pPr>
    </w:lvl>
    <w:lvl w:ilvl="7" w:tplc="BC1400B6">
      <w:start w:val="1"/>
      <w:numFmt w:val="bullet"/>
      <w:lvlText w:val="●"/>
      <w:lvlJc w:val="left"/>
      <w:pPr>
        <w:ind w:left="5760" w:hanging="360"/>
      </w:pPr>
    </w:lvl>
    <w:lvl w:ilvl="8" w:tplc="B6C6823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621494B"/>
    <w:multiLevelType w:val="hybridMultilevel"/>
    <w:tmpl w:val="08F06348"/>
    <w:lvl w:ilvl="0" w:tplc="537E72CA">
      <w:start w:val="1"/>
      <w:numFmt w:val="decimal"/>
      <w:lvlText w:val="%1."/>
      <w:lvlJc w:val="left"/>
      <w:pPr>
        <w:ind w:left="600" w:hanging="320"/>
      </w:pPr>
    </w:lvl>
    <w:lvl w:ilvl="1" w:tplc="1CAA0C64">
      <w:numFmt w:val="decimal"/>
      <w:lvlText w:val=""/>
      <w:lvlJc w:val="left"/>
    </w:lvl>
    <w:lvl w:ilvl="2" w:tplc="D6A0563C">
      <w:numFmt w:val="decimal"/>
      <w:lvlText w:val=""/>
      <w:lvlJc w:val="left"/>
    </w:lvl>
    <w:lvl w:ilvl="3" w:tplc="CFE64624">
      <w:numFmt w:val="decimal"/>
      <w:lvlText w:val=""/>
      <w:lvlJc w:val="left"/>
    </w:lvl>
    <w:lvl w:ilvl="4" w:tplc="3B5E0292">
      <w:numFmt w:val="decimal"/>
      <w:lvlText w:val=""/>
      <w:lvlJc w:val="left"/>
    </w:lvl>
    <w:lvl w:ilvl="5" w:tplc="F4C6D87E">
      <w:numFmt w:val="decimal"/>
      <w:lvlText w:val=""/>
      <w:lvlJc w:val="left"/>
    </w:lvl>
    <w:lvl w:ilvl="6" w:tplc="026C5EAA">
      <w:numFmt w:val="decimal"/>
      <w:lvlText w:val=""/>
      <w:lvlJc w:val="left"/>
    </w:lvl>
    <w:lvl w:ilvl="7" w:tplc="2DB60C58">
      <w:numFmt w:val="decimal"/>
      <w:lvlText w:val=""/>
      <w:lvlJc w:val="left"/>
    </w:lvl>
    <w:lvl w:ilvl="8" w:tplc="D35AD96A">
      <w:numFmt w:val="decimal"/>
      <w:lvlText w:val=""/>
      <w:lvlJc w:val="left"/>
    </w:lvl>
  </w:abstractNum>
  <w:abstractNum w:abstractNumId="3" w15:restartNumberingAfterBreak="0">
    <w:nsid w:val="4AC828E6"/>
    <w:multiLevelType w:val="hybridMultilevel"/>
    <w:tmpl w:val="8738F030"/>
    <w:lvl w:ilvl="0" w:tplc="16C8421A">
      <w:start w:val="1"/>
      <w:numFmt w:val="bullet"/>
      <w:lvlText w:val="•"/>
      <w:lvlJc w:val="left"/>
      <w:pPr>
        <w:ind w:left="600" w:hanging="320"/>
      </w:pPr>
    </w:lvl>
    <w:lvl w:ilvl="1" w:tplc="69B83E82">
      <w:numFmt w:val="decimal"/>
      <w:lvlText w:val=""/>
      <w:lvlJc w:val="left"/>
    </w:lvl>
    <w:lvl w:ilvl="2" w:tplc="4E7EC468">
      <w:numFmt w:val="decimal"/>
      <w:lvlText w:val=""/>
      <w:lvlJc w:val="left"/>
    </w:lvl>
    <w:lvl w:ilvl="3" w:tplc="5D1A15C6">
      <w:numFmt w:val="decimal"/>
      <w:lvlText w:val=""/>
      <w:lvlJc w:val="left"/>
    </w:lvl>
    <w:lvl w:ilvl="4" w:tplc="C0BA5A44">
      <w:numFmt w:val="decimal"/>
      <w:lvlText w:val=""/>
      <w:lvlJc w:val="left"/>
    </w:lvl>
    <w:lvl w:ilvl="5" w:tplc="6AE429CC">
      <w:numFmt w:val="decimal"/>
      <w:lvlText w:val=""/>
      <w:lvlJc w:val="left"/>
    </w:lvl>
    <w:lvl w:ilvl="6" w:tplc="C8E4549E">
      <w:numFmt w:val="decimal"/>
      <w:lvlText w:val=""/>
      <w:lvlJc w:val="left"/>
    </w:lvl>
    <w:lvl w:ilvl="7" w:tplc="A776DB40">
      <w:numFmt w:val="decimal"/>
      <w:lvlText w:val=""/>
      <w:lvlJc w:val="left"/>
    </w:lvl>
    <w:lvl w:ilvl="8" w:tplc="AE7C5390">
      <w:numFmt w:val="decimal"/>
      <w:lvlText w:val=""/>
      <w:lvlJc w:val="left"/>
    </w:lvl>
  </w:abstractNum>
  <w:abstractNum w:abstractNumId="4" w15:restartNumberingAfterBreak="0">
    <w:nsid w:val="5ADA282D"/>
    <w:multiLevelType w:val="hybridMultilevel"/>
    <w:tmpl w:val="2288478E"/>
    <w:lvl w:ilvl="0" w:tplc="9B940068">
      <w:start w:val="1"/>
      <w:numFmt w:val="decimal"/>
      <w:lvlText w:val="%1."/>
      <w:lvlJc w:val="left"/>
      <w:pPr>
        <w:ind w:left="600" w:hanging="320"/>
      </w:pPr>
    </w:lvl>
    <w:lvl w:ilvl="1" w:tplc="F6B4EEFE">
      <w:numFmt w:val="decimal"/>
      <w:lvlText w:val=""/>
      <w:lvlJc w:val="left"/>
    </w:lvl>
    <w:lvl w:ilvl="2" w:tplc="2E9EC3E2">
      <w:numFmt w:val="decimal"/>
      <w:lvlText w:val=""/>
      <w:lvlJc w:val="left"/>
    </w:lvl>
    <w:lvl w:ilvl="3" w:tplc="58EA950C">
      <w:numFmt w:val="decimal"/>
      <w:lvlText w:val=""/>
      <w:lvlJc w:val="left"/>
    </w:lvl>
    <w:lvl w:ilvl="4" w:tplc="5582CED0">
      <w:numFmt w:val="decimal"/>
      <w:lvlText w:val=""/>
      <w:lvlJc w:val="left"/>
    </w:lvl>
    <w:lvl w:ilvl="5" w:tplc="A32694FA">
      <w:numFmt w:val="decimal"/>
      <w:lvlText w:val=""/>
      <w:lvlJc w:val="left"/>
    </w:lvl>
    <w:lvl w:ilvl="6" w:tplc="D794D232">
      <w:numFmt w:val="decimal"/>
      <w:lvlText w:val=""/>
      <w:lvlJc w:val="left"/>
    </w:lvl>
    <w:lvl w:ilvl="7" w:tplc="7402F36A">
      <w:numFmt w:val="decimal"/>
      <w:lvlText w:val=""/>
      <w:lvlJc w:val="left"/>
    </w:lvl>
    <w:lvl w:ilvl="8" w:tplc="CC20600E">
      <w:numFmt w:val="decimal"/>
      <w:lvlText w:val=""/>
      <w:lvlJc w:val="left"/>
    </w:lvl>
  </w:abstractNum>
  <w:abstractNum w:abstractNumId="5" w15:restartNumberingAfterBreak="0">
    <w:nsid w:val="5EAF269B"/>
    <w:multiLevelType w:val="hybridMultilevel"/>
    <w:tmpl w:val="73F2A012"/>
    <w:lvl w:ilvl="0" w:tplc="76ECD73E">
      <w:start w:val="1"/>
      <w:numFmt w:val="lowerLetter"/>
      <w:lvlText w:val="%1)"/>
      <w:lvlJc w:val="left"/>
      <w:pPr>
        <w:ind w:left="1100" w:hanging="320"/>
      </w:pPr>
    </w:lvl>
    <w:lvl w:ilvl="1" w:tplc="1CA4159E">
      <w:numFmt w:val="decimal"/>
      <w:lvlText w:val=""/>
      <w:lvlJc w:val="left"/>
    </w:lvl>
    <w:lvl w:ilvl="2" w:tplc="D5A8441E">
      <w:numFmt w:val="decimal"/>
      <w:lvlText w:val=""/>
      <w:lvlJc w:val="left"/>
    </w:lvl>
    <w:lvl w:ilvl="3" w:tplc="8D020C36">
      <w:numFmt w:val="decimal"/>
      <w:lvlText w:val=""/>
      <w:lvlJc w:val="left"/>
    </w:lvl>
    <w:lvl w:ilvl="4" w:tplc="DED069AC">
      <w:numFmt w:val="decimal"/>
      <w:lvlText w:val=""/>
      <w:lvlJc w:val="left"/>
    </w:lvl>
    <w:lvl w:ilvl="5" w:tplc="84D8E04E">
      <w:numFmt w:val="decimal"/>
      <w:lvlText w:val=""/>
      <w:lvlJc w:val="left"/>
    </w:lvl>
    <w:lvl w:ilvl="6" w:tplc="AF6EB430">
      <w:numFmt w:val="decimal"/>
      <w:lvlText w:val=""/>
      <w:lvlJc w:val="left"/>
    </w:lvl>
    <w:lvl w:ilvl="7" w:tplc="022E0106">
      <w:numFmt w:val="decimal"/>
      <w:lvlText w:val=""/>
      <w:lvlJc w:val="left"/>
    </w:lvl>
    <w:lvl w:ilvl="8" w:tplc="96967ED8">
      <w:numFmt w:val="decimal"/>
      <w:lvlText w:val=""/>
      <w:lvlJc w:val="left"/>
    </w:lvl>
  </w:abstractNum>
  <w:abstractNum w:abstractNumId="6" w15:restartNumberingAfterBreak="0">
    <w:nsid w:val="6E534233"/>
    <w:multiLevelType w:val="multilevel"/>
    <w:tmpl w:val="D746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11345">
    <w:abstractNumId w:val="1"/>
    <w:lvlOverride w:ilvl="0">
      <w:startOverride w:val="1"/>
    </w:lvlOverride>
  </w:num>
  <w:num w:numId="2" w16cid:durableId="936596376">
    <w:abstractNumId w:val="3"/>
    <w:lvlOverride w:ilvl="0">
      <w:startOverride w:val="1"/>
    </w:lvlOverride>
  </w:num>
  <w:num w:numId="3" w16cid:durableId="383917882">
    <w:abstractNumId w:val="4"/>
    <w:lvlOverride w:ilvl="0">
      <w:startOverride w:val="1"/>
    </w:lvlOverride>
  </w:num>
  <w:num w:numId="4" w16cid:durableId="15619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F9"/>
    <w:rsid w:val="00334FA2"/>
    <w:rsid w:val="00360C0A"/>
    <w:rsid w:val="006E27E5"/>
    <w:rsid w:val="00987FC9"/>
    <w:rsid w:val="00C92168"/>
    <w:rsid w:val="00E619F9"/>
    <w:rsid w:val="00E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2817"/>
  <w15:docId w15:val="{04B8C76D-C0DB-4F73-B1C5-10E82E87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spacing w:before="260" w:after="160"/>
      <w:outlineLvl w:val="0"/>
    </w:pPr>
    <w:rPr>
      <w:b/>
      <w:bCs/>
      <w:color w:val="1F3864"/>
      <w:sz w:val="30"/>
      <w:szCs w:val="30"/>
    </w:rPr>
  </w:style>
  <w:style w:type="paragraph" w:styleId="2">
    <w:name w:val="heading 2"/>
    <w:qFormat/>
    <w:pPr>
      <w:spacing w:before="200" w:after="120"/>
      <w:outlineLvl w:val="1"/>
    </w:pPr>
    <w:rPr>
      <w:b/>
      <w:bCs/>
      <w:color w:val="2E5496"/>
      <w:sz w:val="25"/>
      <w:szCs w:val="25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Илья Чирков</cp:lastModifiedBy>
  <cp:revision>5</cp:revision>
  <dcterms:created xsi:type="dcterms:W3CDTF">2026-06-15T17:45:00Z</dcterms:created>
  <dcterms:modified xsi:type="dcterms:W3CDTF">2026-06-15T22:05:00Z</dcterms:modified>
</cp:coreProperties>
</file>