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8C" w:rsidRDefault="0006674B" w:rsidP="003E058C">
      <w:pPr>
        <w:spacing w:after="80"/>
        <w:jc w:val="center"/>
        <w:rPr>
          <w:b/>
          <w:bCs/>
          <w:color w:val="1F3864"/>
          <w:sz w:val="30"/>
          <w:szCs w:val="30"/>
        </w:rPr>
      </w:pPr>
      <w:r>
        <w:rPr>
          <w:b/>
          <w:bCs/>
          <w:color w:val="1F3864"/>
          <w:sz w:val="30"/>
          <w:szCs w:val="30"/>
        </w:rPr>
        <w:t>Программный модуль</w:t>
      </w:r>
      <w:r w:rsidR="003E058C" w:rsidRPr="003E058C">
        <w:rPr>
          <w:b/>
          <w:bCs/>
          <w:color w:val="1F3864"/>
          <w:sz w:val="30"/>
          <w:szCs w:val="30"/>
        </w:rPr>
        <w:t xml:space="preserve"> прогнозирования продаж потенциальных арендаторов торговых центров на базе платформы Rentu.</w:t>
      </w:r>
    </w:p>
    <w:p w:rsidR="0006674B" w:rsidRDefault="0006674B" w:rsidP="0006674B">
      <w:pPr>
        <w:spacing w:after="80"/>
        <w:jc w:val="center"/>
        <w:rPr>
          <w:b/>
          <w:bCs/>
          <w:color w:val="1F3864"/>
          <w:sz w:val="30"/>
          <w:szCs w:val="30"/>
        </w:rPr>
      </w:pPr>
      <w:r>
        <w:rPr>
          <w:b/>
          <w:bCs/>
          <w:color w:val="1F3864"/>
          <w:sz w:val="30"/>
          <w:szCs w:val="30"/>
        </w:rPr>
        <w:t>Описание функциональных характеристик</w:t>
      </w:r>
    </w:p>
    <w:p w:rsidR="00B63D4E" w:rsidRDefault="00961CA1" w:rsidP="003E058C">
      <w:pPr>
        <w:spacing w:after="80"/>
        <w:jc w:val="center"/>
      </w:pPr>
      <w:bookmarkStart w:id="0" w:name="_GoBack"/>
      <w:bookmarkEnd w:id="0"/>
      <w:r>
        <w:rPr>
          <w:color w:val="444444"/>
          <w:sz w:val="24"/>
          <w:szCs w:val="24"/>
        </w:rPr>
        <w:t>2026 г.</w:t>
      </w:r>
    </w:p>
    <w:p w:rsidR="00B63D4E" w:rsidRDefault="00961CA1">
      <w:pPr>
        <w:spacing w:after="200"/>
        <w:jc w:val="both"/>
      </w:pPr>
      <w:r>
        <w:t>Модуль прогнозирования позволяет оценить потенциальные коммерческие показатели площадки (вакантной или планируемой к сдаче) на основе эталонных данных сетевых брендов-аналогов, масштабированных под параметры конкретной площадки. Прогноз строится на 12 меся</w:t>
      </w:r>
      <w:r>
        <w:t>цев вперёд по четырём показателям и предназначен для оценки доходности площадки и подбора арендатора. Ниже описаны основные экраны и функциональные возможности модуля.</w:t>
      </w:r>
    </w:p>
    <w:p w:rsidR="00B63D4E" w:rsidRDefault="00961CA1">
      <w:pPr>
        <w:pStyle w:val="2"/>
        <w:keepNext/>
      </w:pPr>
      <w:r>
        <w:t>1) Точка входа — запуск прогноза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Модуль доступен в разделе «Настройки» → страница «Этажи</w:t>
      </w:r>
      <w:r>
        <w:t>, Секторы, Площади», блок «Площадки в ТРЦ».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В строке площадки по кнопке «…» доступен пункт «Произвести прогноз».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Пункт доступен пользователям с ролью администратора / персонала торгового центра.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 xml:space="preserve">Прогноз активен только для площадок с площадью от 200 до 500 </w:t>
      </w:r>
      <w:r>
        <w:t>м²; для остальных пункт недоступен.</w:t>
      </w:r>
    </w:p>
    <w:p w:rsidR="00B63D4E" w:rsidRDefault="00961CA1">
      <w:pPr>
        <w:spacing w:before="80" w:after="160"/>
        <w:jc w:val="center"/>
      </w:pPr>
      <w:r>
        <w:rPr>
          <w:noProof/>
        </w:rPr>
        <w:drawing>
          <wp:inline distT="0" distB="0" distL="0" distR="0">
            <wp:extent cx="5715000" cy="3571875"/>
            <wp:effectExtent l="0" t="0" r="0" b="0"/>
            <wp:docPr id="1" name="01-context-menu.png" descr="01-context-menu.png" title="01-context-me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D4E" w:rsidRDefault="00961CA1">
      <w:pPr>
        <w:pStyle w:val="2"/>
        <w:keepNext/>
      </w:pPr>
      <w:r>
        <w:t>2) Форма запуска прогноза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 xml:space="preserve">Отображается остаток «прогнозных </w:t>
      </w:r>
      <w:proofErr w:type="spellStart"/>
      <w:r>
        <w:t>токенов</w:t>
      </w:r>
      <w:proofErr w:type="spellEnd"/>
      <w:r>
        <w:t>» торгового центра.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Выводятся характеристики площадки для проверки: площадь, тип, этаж, сектор.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Пользователь выбирает один или несколько брендов; каждый</w:t>
      </w:r>
      <w:r>
        <w:t xml:space="preserve"> бренд расходует один </w:t>
      </w:r>
      <w:proofErr w:type="spellStart"/>
      <w:r>
        <w:t>токен</w:t>
      </w:r>
      <w:proofErr w:type="spellEnd"/>
      <w:r>
        <w:t>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При площади вне диапазона 200–500 м² запуск прогноза блокируется с пояснением.</w:t>
      </w:r>
    </w:p>
    <w:p w:rsidR="00B63D4E" w:rsidRDefault="00961CA1">
      <w:pPr>
        <w:spacing w:before="80" w:after="160"/>
        <w:jc w:val="center"/>
      </w:pPr>
      <w:r>
        <w:rPr>
          <w:noProof/>
        </w:rPr>
        <w:lastRenderedPageBreak/>
        <w:drawing>
          <wp:inline distT="0" distB="0" distL="0" distR="0">
            <wp:extent cx="5715000" cy="3571875"/>
            <wp:effectExtent l="0" t="0" r="0" b="0"/>
            <wp:docPr id="2" name="02-modal-select.png" descr="02-modal-select.png" title="02-modal-sel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D4E" w:rsidRDefault="00961CA1">
      <w:pPr>
        <w:pStyle w:val="2"/>
        <w:keepNext/>
      </w:pPr>
      <w:r>
        <w:t>3) Выбор брендов-аналогов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 xml:space="preserve">Доступен </w:t>
      </w:r>
      <w:proofErr w:type="spellStart"/>
      <w:r>
        <w:t>мультивыбор</w:t>
      </w:r>
      <w:proofErr w:type="spellEnd"/>
      <w:r>
        <w:t xml:space="preserve"> брендов из списка.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 xml:space="preserve">Бренды-аналоги: </w:t>
      </w:r>
      <w:proofErr w:type="spellStart"/>
      <w:r>
        <w:t>Бершка</w:t>
      </w:r>
      <w:proofErr w:type="spellEnd"/>
      <w:r>
        <w:t xml:space="preserve"> (одежда), </w:t>
      </w:r>
      <w:proofErr w:type="spellStart"/>
      <w:r>
        <w:t>Левайс</w:t>
      </w:r>
      <w:proofErr w:type="spellEnd"/>
      <w:r>
        <w:t xml:space="preserve"> (обувь и сумки), </w:t>
      </w:r>
      <w:proofErr w:type="spellStart"/>
      <w:r>
        <w:t>Легого</w:t>
      </w:r>
      <w:proofErr w:type="spellEnd"/>
      <w:r>
        <w:t xml:space="preserve"> (детские товары)</w:t>
      </w:r>
      <w:r>
        <w:t>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По каждому выбранному бренду формируется отдельный прогноз.</w:t>
      </w:r>
    </w:p>
    <w:p w:rsidR="00B63D4E" w:rsidRDefault="00961CA1">
      <w:pPr>
        <w:spacing w:before="80" w:after="160"/>
        <w:jc w:val="center"/>
      </w:pPr>
      <w:r>
        <w:rPr>
          <w:noProof/>
        </w:rPr>
        <w:drawing>
          <wp:inline distT="0" distB="0" distL="0" distR="0">
            <wp:extent cx="5715000" cy="3571875"/>
            <wp:effectExtent l="0" t="0" r="0" b="0"/>
            <wp:docPr id="3" name="03-brands-open.png" descr="03-brands-open.png" title="03-brands-o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D4E" w:rsidRDefault="00961CA1">
      <w:pPr>
        <w:pStyle w:val="2"/>
        <w:keepNext/>
      </w:pPr>
      <w:r>
        <w:lastRenderedPageBreak/>
        <w:t>4) Результат прогноза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Прогноз строится на 12 месяцев вперёд с реальными подписями месяцев и итоговой суммой за период.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Результат отображается отдельной таблицей по каждому выбранному бренду.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Доступны четыре показателя, переключаемые вкладками: Прогноз ТО, Прогноз ТО на м², Прогноз продаж, Прогноз среднего чека.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Отображается ориентировочная точность прогноза (≈83 %).</w:t>
      </w:r>
    </w:p>
    <w:p w:rsidR="00B63D4E" w:rsidRDefault="00961CA1">
      <w:pPr>
        <w:spacing w:before="80" w:after="160"/>
        <w:jc w:val="center"/>
      </w:pPr>
      <w:r>
        <w:rPr>
          <w:noProof/>
        </w:rPr>
        <w:drawing>
          <wp:inline distT="0" distB="0" distL="0" distR="0">
            <wp:extent cx="5715000" cy="3571875"/>
            <wp:effectExtent l="0" t="0" r="0" b="0"/>
            <wp:docPr id="4" name="05-result-to.png" descr="05-result-to.png" title="05-result-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D4E" w:rsidRDefault="00961CA1">
      <w:pPr>
        <w:pStyle w:val="2"/>
        <w:keepNext/>
      </w:pPr>
      <w:r>
        <w:t>5) Переключение показателей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Переключение между четырьмя показателями выполня</w:t>
      </w:r>
      <w:r>
        <w:t>ется вкладками без повторного запроса к модели.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На иллюстрации — вкладка «Прогноз среднего чека».</w:t>
      </w:r>
    </w:p>
    <w:p w:rsidR="00B63D4E" w:rsidRDefault="00961CA1">
      <w:pPr>
        <w:spacing w:before="80" w:after="160"/>
        <w:jc w:val="center"/>
      </w:pPr>
      <w:r>
        <w:rPr>
          <w:noProof/>
        </w:rPr>
        <w:lastRenderedPageBreak/>
        <w:drawing>
          <wp:inline distT="0" distB="0" distL="0" distR="0">
            <wp:extent cx="5715000" cy="3571875"/>
            <wp:effectExtent l="0" t="0" r="0" b="0"/>
            <wp:docPr id="5" name="06-avg.png" descr="06-avg.png" title="06-a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D4E" w:rsidRDefault="00961CA1">
      <w:pPr>
        <w:pStyle w:val="2"/>
        <w:keepNext/>
      </w:pPr>
      <w:r>
        <w:t>6) Выгрузка результата в PDF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Кнопка «Скачать таблицу в формате PDF» формирует печатный документ.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Документ содержит характеристики площадки и точность прогно</w:t>
      </w:r>
      <w:r>
        <w:t>за в шапке.</w:t>
      </w:r>
    </w:p>
    <w:p w:rsidR="00B63D4E" w:rsidRDefault="00961CA1">
      <w:pPr>
        <w:pStyle w:val="a4"/>
        <w:numPr>
          <w:ilvl w:val="0"/>
          <w:numId w:val="2"/>
        </w:numPr>
        <w:spacing w:after="40"/>
      </w:pPr>
      <w:r>
        <w:t>В документ включаются таблицы по всем выбранным брендам сразу по всем четырём показателям за 12 месяцев с итоговой суммой.</w:t>
      </w:r>
    </w:p>
    <w:p w:rsidR="00B63D4E" w:rsidRDefault="00961CA1">
      <w:pPr>
        <w:spacing w:before="80" w:after="160"/>
        <w:jc w:val="center"/>
      </w:pPr>
      <w:r>
        <w:rPr>
          <w:noProof/>
        </w:rPr>
        <w:drawing>
          <wp:inline distT="0" distB="0" distL="0" distR="0">
            <wp:extent cx="5715000" cy="4143375"/>
            <wp:effectExtent l="0" t="0" r="0" b="0"/>
            <wp:docPr id="6" name="07-pdf.png" descr="07-pdf.png" title="07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D4E"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6EF"/>
    <w:multiLevelType w:val="hybridMultilevel"/>
    <w:tmpl w:val="C82A9DB2"/>
    <w:lvl w:ilvl="0" w:tplc="5A34D610">
      <w:start w:val="1"/>
      <w:numFmt w:val="bullet"/>
      <w:lvlText w:val="●"/>
      <w:lvlJc w:val="left"/>
      <w:pPr>
        <w:ind w:left="720" w:hanging="360"/>
      </w:pPr>
    </w:lvl>
    <w:lvl w:ilvl="1" w:tplc="C5A01374">
      <w:start w:val="1"/>
      <w:numFmt w:val="bullet"/>
      <w:lvlText w:val="○"/>
      <w:lvlJc w:val="left"/>
      <w:pPr>
        <w:ind w:left="1440" w:hanging="360"/>
      </w:pPr>
    </w:lvl>
    <w:lvl w:ilvl="2" w:tplc="A2FC3054">
      <w:start w:val="1"/>
      <w:numFmt w:val="bullet"/>
      <w:lvlText w:val="■"/>
      <w:lvlJc w:val="left"/>
      <w:pPr>
        <w:ind w:left="2160" w:hanging="360"/>
      </w:pPr>
    </w:lvl>
    <w:lvl w:ilvl="3" w:tplc="4DD44050">
      <w:start w:val="1"/>
      <w:numFmt w:val="bullet"/>
      <w:lvlText w:val="●"/>
      <w:lvlJc w:val="left"/>
      <w:pPr>
        <w:ind w:left="2880" w:hanging="360"/>
      </w:pPr>
    </w:lvl>
    <w:lvl w:ilvl="4" w:tplc="92509F56">
      <w:start w:val="1"/>
      <w:numFmt w:val="bullet"/>
      <w:lvlText w:val="○"/>
      <w:lvlJc w:val="left"/>
      <w:pPr>
        <w:ind w:left="3600" w:hanging="360"/>
      </w:pPr>
    </w:lvl>
    <w:lvl w:ilvl="5" w:tplc="4E580446">
      <w:start w:val="1"/>
      <w:numFmt w:val="bullet"/>
      <w:lvlText w:val="■"/>
      <w:lvlJc w:val="left"/>
      <w:pPr>
        <w:ind w:left="4320" w:hanging="360"/>
      </w:pPr>
    </w:lvl>
    <w:lvl w:ilvl="6" w:tplc="58A043D2">
      <w:start w:val="1"/>
      <w:numFmt w:val="bullet"/>
      <w:lvlText w:val="●"/>
      <w:lvlJc w:val="left"/>
      <w:pPr>
        <w:ind w:left="5040" w:hanging="360"/>
      </w:pPr>
    </w:lvl>
    <w:lvl w:ilvl="7" w:tplc="4F3AECBA">
      <w:start w:val="1"/>
      <w:numFmt w:val="bullet"/>
      <w:lvlText w:val="●"/>
      <w:lvlJc w:val="left"/>
      <w:pPr>
        <w:ind w:left="5760" w:hanging="360"/>
      </w:pPr>
    </w:lvl>
    <w:lvl w:ilvl="8" w:tplc="616E34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86D3977"/>
    <w:multiLevelType w:val="hybridMultilevel"/>
    <w:tmpl w:val="ADE828E8"/>
    <w:lvl w:ilvl="0" w:tplc="C9EAA4F0">
      <w:start w:val="1"/>
      <w:numFmt w:val="bullet"/>
      <w:lvlText w:val="•"/>
      <w:lvlJc w:val="left"/>
      <w:pPr>
        <w:ind w:left="600" w:hanging="320"/>
      </w:pPr>
    </w:lvl>
    <w:lvl w:ilvl="1" w:tplc="19A06684">
      <w:numFmt w:val="decimal"/>
      <w:lvlText w:val=""/>
      <w:lvlJc w:val="left"/>
    </w:lvl>
    <w:lvl w:ilvl="2" w:tplc="35182A90">
      <w:numFmt w:val="decimal"/>
      <w:lvlText w:val=""/>
      <w:lvlJc w:val="left"/>
    </w:lvl>
    <w:lvl w:ilvl="3" w:tplc="3B0C8CD4">
      <w:numFmt w:val="decimal"/>
      <w:lvlText w:val=""/>
      <w:lvlJc w:val="left"/>
    </w:lvl>
    <w:lvl w:ilvl="4" w:tplc="4C942128">
      <w:numFmt w:val="decimal"/>
      <w:lvlText w:val=""/>
      <w:lvlJc w:val="left"/>
    </w:lvl>
    <w:lvl w:ilvl="5" w:tplc="46AE07BC">
      <w:numFmt w:val="decimal"/>
      <w:lvlText w:val=""/>
      <w:lvlJc w:val="left"/>
    </w:lvl>
    <w:lvl w:ilvl="6" w:tplc="11A2D25E">
      <w:numFmt w:val="decimal"/>
      <w:lvlText w:val=""/>
      <w:lvlJc w:val="left"/>
    </w:lvl>
    <w:lvl w:ilvl="7" w:tplc="1F5ECEE2">
      <w:numFmt w:val="decimal"/>
      <w:lvlText w:val=""/>
      <w:lvlJc w:val="left"/>
    </w:lvl>
    <w:lvl w:ilvl="8" w:tplc="492462F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4E"/>
    <w:rsid w:val="0006674B"/>
    <w:rsid w:val="003E058C"/>
    <w:rsid w:val="00961CA1"/>
    <w:rsid w:val="00B6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B72B"/>
  <w15:docId w15:val="{F774F227-7CF9-4556-B82A-A45B3D29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pBdr>
        <w:left w:val="single" w:sz="18" w:space="8" w:color="2E5496"/>
      </w:pBdr>
      <w:spacing w:before="240" w:after="100"/>
      <w:outlineLvl w:val="1"/>
    </w:pPr>
    <w:rPr>
      <w:b/>
      <w:bCs/>
      <w:color w:val="2E5496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Rentu</cp:lastModifiedBy>
  <cp:revision>2</cp:revision>
  <dcterms:created xsi:type="dcterms:W3CDTF">2026-06-15T17:49:00Z</dcterms:created>
  <dcterms:modified xsi:type="dcterms:W3CDTF">2026-06-15T17:49:00Z</dcterms:modified>
</cp:coreProperties>
</file>